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Evaluación de conducta inicial y plan de conducta</w:t>
      </w:r>
    </w:p>
    <w:p>
      <w:pPr>
        <w:pStyle w:val="Subtitle"/>
      </w:pPr>
      <w:r>
        <w:t xml:space="preserve">Plantilla para Florida Medicaid · sigue la sección 6.2.2 de la política de cobertura de análisis de conducta (diciembre de 2024)</w:t>
      </w:r>
    </w:p>
    <w:p>
      <w:pPr>
        <w:pStyle w:val="Note"/>
      </w:pPr>
      <w:r>
        <w:t xml:space="preserve">Cómo usarla: reemplaza cada [indicación entre corchetes] y borra este recuadro antes de enviar. Tu plan de salud SMMC puede pedir su propio formulario. La evaluación y el plan llevan la firma del Lead Analyst y del padre o tutor.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Nombre del afiliado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de nacimiento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Número de Medicaid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Quién paga: nombre del plan SMMC, o pago por servicio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Lead Analyst: nombre, credencial y número de certificación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Fechas de la evaluación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Periodo de autorización solicitado (hasta 6 meses)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1. Datos del paciente</w:t>
      </w:r>
    </w:p>
    <w:p>
      <w:pPr>
        <w:pStyle w:val="Prompt"/>
      </w:pPr>
      <w:r>
        <w:t xml:space="preserve">[Datos generales, escuela o programa, idioma principal, personas que viven con el niño.]</w:t>
      </w:r>
    </w:p>
    <w:p>
      <w:pPr>
        <w:pStyle w:val="Heading1"/>
      </w:pPr>
      <w:r>
        <w:t xml:space="preserve">2. Motivo del referido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Médico o profesional que refiere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de la orden médica para servicios de análisis de conducta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Evaluación diagnóstica integral (CDE): fecha y profesional con licencia que la dirigió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Prompt"/>
      </w:pPr>
      <w:r>
        <w:t xml:space="preserve">[Por qué se refirió al niño y qué actividad vital principal afecta la conducta: seguridad, comunicación, autoestimulación, autocuidado u otra.]</w:t>
      </w:r>
    </w:p>
    <w:p>
      <w:pPr>
        <w:pStyle w:val="Heading1"/>
      </w:pPr>
      <w:r>
        <w:t xml:space="preserve">3. Historia médica y del desarrollo</w:t>
      </w:r>
    </w:p>
    <w:p>
      <w:pPr>
        <w:pStyle w:val="Prompt"/>
      </w:pPr>
      <w:r>
        <w:t xml:space="preserve">[Diagnósticos, hitos del desarrollo, medicamentos actuales, incluidos los recetados para la conducta.]</w:t>
      </w:r>
    </w:p>
    <w:p>
      <w:pPr>
        <w:pStyle w:val="Heading1"/>
      </w:pPr>
      <w:r>
        <w:t xml:space="preserve">4. Historia familiar relevante</w:t>
      </w:r>
    </w:p>
    <w:p>
      <w:pPr>
        <w:pStyle w:val="Prompt"/>
      </w:pPr>
      <w:r>
        <w:t xml:space="preserve">[Antecedentes familiares que importan para la conducta y el tratamiento.]</w:t>
      </w:r>
    </w:p>
    <w:p>
      <w:pPr>
        <w:pStyle w:val="Heading1"/>
      </w:pPr>
      <w:r>
        <w:t xml:space="preserve">5. Entrevista clínica</w:t>
      </w:r>
    </w:p>
    <w:p>
      <w:pPr>
        <w:pStyle w:val="Prompt"/>
      </w:pPr>
      <w:r>
        <w:t xml:space="preserve">[A quién entrevistaste, cuándo y qué encontraste.]</w:t>
      </w:r>
    </w:p>
    <w:p>
      <w:pPr>
        <w:pStyle w:val="Heading1"/>
      </w:pPr>
      <w:r>
        <w:t xml:space="preserve">6. Revisión de evaluaciones e informes recientes</w:t>
      </w:r>
    </w:p>
    <w:p>
      <w:pPr>
        <w:pStyle w:val="Prompt"/>
      </w:pPr>
      <w:r>
        <w:t xml:space="preserve">[Expedientes revisados (CDE, IEP o plan 504, tratamientos anteriores) y hallazgos clave.]</w:t>
      </w:r>
    </w:p>
    <w:p>
      <w:pPr>
        <w:pStyle w:val="Heading1"/>
      </w:pPr>
      <w:r>
        <w:t xml:space="preserve">7. Procedimientos y resultados de la evaluación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Instrumento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Informante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Resumen de resultados (adjunta el informe de puntuación completo)</w:t>
            </w: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  <w:r>
              <w:rPr>
                <w:sz w:val="19"/>
              </w:rPr>
              <w:t xml:space="preserve">Vineland-3 Comprehensive Parent Interview Form</w:t>
            </w: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  <w:r>
              <w:rPr>
                <w:sz w:val="19"/>
              </w:rPr>
              <w:t xml:space="preserve">Dominio de conducta desadaptativa del Vineland-3 (desde los 3 años)</w:t>
            </w: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  <w:r>
              <w:rPr>
                <w:sz w:val="19"/>
              </w:rPr>
              <w:t xml:space="preserve">BASC-3 Parenting Relationship Questionnaire (de 2 a 18 años)</w:t>
            </w: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  <w:r>
              <w:rPr>
                <w:sz w:val="19"/>
              </w:rPr>
              <w:t xml:space="preserve">Otras herramientas a criterio del Lead Analyst</w:t>
            </w: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Prompt"/>
      </w:pPr>
      <w:r>
        <w:t xml:space="preserve">[Observación directa, evaluación funcional y cómo los resultados sostienen cada objetivo de abajo.]</w:t>
      </w:r>
    </w:p>
    <w:p>
      <w:pPr>
        <w:pStyle w:val="Heading1"/>
      </w:pPr>
      <w:r>
        <w:t xml:space="preserve">8. Plan de conducta</w:t>
      </w:r>
    </w:p>
    <w:p>
      <w:pPr>
        <w:pStyle w:val="Heading2"/>
      </w:pPr>
      <w:r>
        <w:t xml:space="preserve">8.1 Entornos de tratamiento</w:t>
      </w:r>
    </w:p>
    <w:p>
      <w:pPr>
        <w:pStyle w:val="Prompt"/>
      </w:pPr>
      <w:r>
        <w:t xml:space="preserve">[Casa, clínica, escuela o comunidad, y por qué.]</w:t>
      </w:r>
    </w:p>
    <w:p>
      <w:pPr>
        <w:pStyle w:val="Heading2"/>
      </w:pPr>
      <w:r>
        <w:t xml:space="preserve">8.2 Metas, objetivos y conductas objetivo</w:t>
      </w:r>
    </w:p>
    <w:p>
      <w:r>
        <w:t xml:space="preserve">Copia esta tabla para cada meta, objetivo o conducta objetivo ligada a una intervención conductual con necesidad médica.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Meta, objetivo o conducta objetivo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Definición en términos observables y medibles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Procedimientos de observación directa y medición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Nivel actual (línea base)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Procedimientos de reducción o adquisición de la conducta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Condiciones en que se muestra la conducta y criterio de dominio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de inicio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estimada de dominio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Plan de generalización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Reporte del progreso: logrado, no logrado o modificado (con explicación)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2"/>
      </w:pPr>
      <w:r>
        <w:t xml:space="preserve">8.3 Estrategias de intervención y plazos</w:t>
      </w:r>
    </w:p>
    <w:p>
      <w:pPr>
        <w:pStyle w:val="Prompt"/>
      </w:pPr>
      <w:r>
        <w:t xml:space="preserve">[Estrategias para cada meta, plazos suficientes para atender cada conducta y cómo se reportará el progreso.]</w:t>
      </w:r>
    </w:p>
    <w:p>
      <w:pPr>
        <w:pStyle w:val="Heading1"/>
      </w:pPr>
      <w:r>
        <w:t xml:space="preserve">9. Entrenamiento a padres, tutores o cuidadores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Meta, objetivo o conducta objetivo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Procedimientos de entrenamiento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de inicio</w:t>
            </w:r>
          </w:p>
        </w:tc>
        <w:tc>
          <w:tcPr>
            <w:tcW w:w="252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estimada de dominio</w:t>
            </w: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  <w:tc>
          <w:tcPr>
            <w:tcW w:w="252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Prompt"/>
      </w:pPr>
      <w:r>
        <w:t xml:space="preserve">[Tus esfuerzos por incluir al padre o tutor. Si no puede participar: los motivos, el posible impacto y cómo lo reduces.]</w:t>
      </w:r>
    </w:p>
    <w:p>
      <w:pPr>
        <w:pStyle w:val="Heading1"/>
      </w:pPr>
      <w:r>
        <w:t xml:space="preserve">10. Unidades solicitadas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Código de procedimiento</w:t>
            </w:r>
          </w:p>
        </w:tc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Unidades solicitadas</w:t>
            </w:r>
          </w:p>
        </w:tc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Necesidad médica de estas unidades</w:t>
            </w: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11. Plan de supervisión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Supervisor autorizado (nombre)</w:t>
            </w:r>
          </w:p>
        </w:tc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Credencial</w:t>
            </w:r>
          </w:p>
        </w:tc>
        <w:tc>
          <w:tcPr>
            <w:tcW w:w="336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Función en este caso</w:t>
            </w: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12. Coordinación de cuidados</w:t>
      </w:r>
    </w:p>
    <w:p>
      <w:pPr>
        <w:pStyle w:val="Prompt"/>
      </w:pPr>
      <w:r>
        <w:t xml:space="preserve">[Coordinación con padres o cuidadores, escuelas, programas estatales de discapacidad y otros.]</w:t>
      </w:r>
    </w:p>
    <w:p>
      <w:pPr>
        <w:pStyle w:val="Heading1"/>
      </w:pPr>
      <w:r>
        <w:t xml:space="preserve">13. Plan de transición (desvanecimiento)</w:t>
      </w:r>
    </w:p>
    <w:p>
      <w:pPr>
        <w:pStyle w:val="Prompt"/>
      </w:pPr>
      <w:r>
        <w:t xml:space="preserve">[Cómo se irán reduciendo los servicios a medida que se logren las metas.]</w:t>
      </w:r>
    </w:p>
    <w:p>
      <w:pPr>
        <w:pStyle w:val="Heading1"/>
      </w:pPr>
      <w:r>
        <w:t xml:space="preserve">14. Plan de manejo de crisis</w:t>
      </w:r>
    </w:p>
    <w:p>
      <w:pPr>
        <w:pStyle w:val="Prompt"/>
      </w:pPr>
      <w:r>
        <w:t xml:space="preserve">[Qué hacen el personal y la familia ante una crisis, y a quién se llama.]</w:t>
      </w:r>
    </w:p>
    <w:p>
      <w:pPr>
        <w:pStyle w:val="Heading1"/>
      </w:pPr>
      <w:r>
        <w:t xml:space="preserve">15. Plan de alta</w:t>
      </w:r>
    </w:p>
    <w:p>
      <w:pPr>
        <w:pStyle w:val="Prompt"/>
      </w:pPr>
      <w:r>
        <w:t xml:space="preserve">[Criterios de alta y la transición prevista.]</w:t>
      </w:r>
    </w:p>
    <w:p>
      <w:pPr>
        <w:pStyle w:val="Heading1"/>
      </w:pPr>
      <w:r>
        <w:t xml:space="preserve">16. Firmas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Lead Analyst: nombre, credencial y firma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Padre o tutor: nombre y firma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Note"/>
      </w:pPr>
      <w:r>
        <w:t xml:space="preserve">En cada reevaluación (al menos cada seis meses) agrega: una tabla de datos y una gráfica por cada conducta en tratamiento, una narrativa del progreso con la justificación de la intensidad solicitada, una explicación y los cambios al tratamiento si el progreso no fue significativo, y datos de la participación del padre o tutor.</w:t>
      </w:r>
    </w:p>
    <w:p>
      <w:pPr>
        <w:pStyle w:val="Footer"/>
      </w:pPr>
      <w:r>
        <w:t xml:space="preserve">Plantilla de ABA PARTNERS Resources · actualizada el 15 de octubre de 2026 · resources.aba.partners · No sustituye el juicio clínico ni las reglas de tu plan.</w:t>
      </w:r>
    </w:p>
    <w:sectPr>
      <w:pgSz w:w="12240" w:h="15840"/>
      <w:pgMar w:top="1080" w:right="1080" w:bottom="1080" w:left="1080" w:header="540" w:footer="5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2B39"/>
        <w:sz w:val="21"/>
        <w:szCs w:val="21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b/>
      <w:color w:val="0D1B2A"/>
      <w:sz w:val="40"/>
    </w:rPr>
  </w:style>
  <w:style w:type="paragraph" w:styleId="Subtitle">
    <w:name w:val="Subtitle"/>
    <w:basedOn w:val="Normal"/>
    <w:pPr>
      <w:spacing w:after="200"/>
    </w:pPr>
    <w:rPr>
      <w:color w:val="55667A"/>
      <w:sz w:val="19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color w:val="0D1B2A"/>
      <w:sz w:val="26"/>
    </w:rPr>
  </w:style>
  <w:style w:type="paragraph" w:styleId="Heading2">
    <w:name w:val="heading 2"/>
    <w:basedOn w:val="Normal"/>
    <w:next w:val="Normal"/>
    <w:pPr>
      <w:keepNext/>
      <w:spacing w:before="180" w:after="80"/>
      <w:outlineLvl w:val="1"/>
    </w:pPr>
    <w:rPr>
      <w:b/>
      <w:color w:val="11706B"/>
      <w:sz w:val="22"/>
    </w:rPr>
  </w:style>
  <w:style w:type="paragraph" w:styleId="Note">
    <w:name w:val="Note"/>
    <w:basedOn w:val="Normal"/>
    <w:pPr>
      <w:pBdr>
        <w:left w:val="single" w:sz="18" w:space="6" w:color="2AA7A1"/>
      </w:pBdr>
      <w:shd w:val="clear" w:color="auto" w:fill="F1F7F7"/>
      <w:spacing w:before="120" w:after="160"/>
      <w:ind w:left="120"/>
    </w:pPr>
    <w:rPr>
      <w:sz w:val="19"/>
    </w:rPr>
  </w:style>
  <w:style w:type="paragraph" w:styleId="Prompt">
    <w:name w:val="Prompt"/>
    <w:basedOn w:val="Normal"/>
    <w:pPr>
      <w:spacing w:after="160"/>
    </w:pPr>
    <w:rPr>
      <w:i/>
      <w:color w:val="55667A"/>
    </w:rPr>
  </w:style>
  <w:style w:type="paragraph" w:styleId="Footer">
    <w:name w:val="Footer"/>
    <w:basedOn w:val="Normal"/>
    <w:rPr>
      <w:color w:val="55667A"/>
      <w:sz w:val="16"/>
    </w:rPr>
  </w:style>
  <w:style w:type="table" w:styleId="Grid">
    <w:name w:val="Grid"/>
    <w:tblPr>
      <w:tblBorders>
        <w:top w:val="single" w:sz="4" w:color="B8C4CF"/>
        <w:left w:val="single" w:sz="4" w:color="B8C4CF"/>
        <w:bottom w:val="single" w:sz="4" w:color="B8C4CF"/>
        <w:right w:val="single" w:sz="4" w:color="B8C4CF"/>
        <w:insideH w:val="single" w:sz="4" w:color="B8C4CF"/>
        <w:insideV w:val="single" w:sz="4" w:color="B8C4CF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ABA PARTNERS Resources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Evaluación de conducta inicial y plan de conducta</dc:title>
  <dc:creator>ABA PARTNERS</dc:creator>
  <dc:language>es</dc:language>
  <dcterms:created xsi:type="dcterms:W3CDTF">2026-10-15T00:00:00Z</dcterms:created>
  <dcterms:modified xsi:type="dcterms:W3CDTF">2026-10-15T00:00:00Z</dcterms:modified>
</cp:coreProperties>
</file>