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Política de uso de IA</w:t>
      </w:r>
    </w:p>
    <w:p>
      <w:pPr>
        <w:pStyle w:val="Subtitle"/>
      </w:pPr>
      <w:r>
        <w:t xml:space="preserve">Plantilla para agencias y prácticas de ABA · basada en las reglas de HIPAA (45 CFR), el código de ética de la BACB y los parámetros de práctica de CASP de 2025</w:t>
      </w:r>
    </w:p>
    <w:p>
      <w:pPr>
        <w:pStyle w:val="Note"/>
      </w:pPr>
      <w:r>
        <w:t xml:space="preserve">Cómo usarla: reemplaza cada [indicación entre corchetes], borra lo que no aplique y pide que la revisen tu abogado y tu asesor de tecnología o seguridad antes de adoptarla (la BACB recomienda asesoría legal y técnica). Esta plantilla no es asesoría legal.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700"/>
        <w:gridCol w:w="6380"/>
      </w:tblGrid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Organización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Responsable de la política (nombre y cargo)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Responsable de privacidad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 de vigencia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Próxima revisión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1. Propósito y alcance</w:t>
      </w:r>
    </w:p>
    <w:p>
      <w:pPr>
        <w:pStyle w:val="Prompt"/>
      </w:pPr>
      <w:r>
        <w:t xml:space="preserve">[Esta política cubre a todo empleado, contratista y supervisado de [Organización] que use una herramienta de inteligencia artificial (IA) para el trabajo, incluida la redacción de documentos, resúmenes de expedientes, agendas y materiales de capacitación.]</w:t>
      </w:r>
    </w:p>
    <w:p>
      <w:pPr>
        <w:pStyle w:val="Heading1"/>
      </w:pPr>
      <w:r>
        <w:t xml:space="preserve">2. Herramientas aprobadas</w:t>
      </w:r>
    </w:p>
    <w:p>
      <w:r>
        <w:t xml:space="preserve">☐  Solo se usan para el trabajo las herramientas del registro de herramientas de IA (adjunto).</w:t>
      </w:r>
    </w:p>
    <w:p>
      <w:r>
        <w:t xml:space="preserve">☐  Ninguna información de salud de un cliente entra a una herramienta hasta que se firma un acuerdo de asociado de negocio (BAA) que cubra ese producto y ese plan exactos.</w:t>
      </w:r>
    </w:p>
    <w:p>
      <w:r>
        <w:t xml:space="preserve">☐  Nunca se usan cuentas personales o de consumo con información de clientes.</w:t>
      </w:r>
    </w:p>
    <w:p>
      <w:r>
        <w:t xml:space="preserve">☐  El registro anota, para cada herramienta, si el proveedor guarda lo que se ingresa, por cuánto tiempo y si lo usa para entrenar sus modelos.</w:t>
      </w:r>
    </w:p>
    <w:p>
      <w:pPr>
        <w:pStyle w:val="Heading1"/>
      </w:pPr>
      <w:r>
        <w:t xml:space="preserve">3. Qué puede entrar a una herramienta de IA</w:t>
      </w:r>
    </w:p>
    <w:p>
      <w:r>
        <w:t xml:space="preserve">☐  Solo la información del cliente que la tarea necesita (mínimo necesario de HIPAA).</w:t>
      </w:r>
    </w:p>
    <w:p>
      <w:r>
        <w:t xml:space="preserve">☐  Cuando se comparte con un tercero, solo lo crítico para el propósito (código de ética 2.04).</w:t>
      </w:r>
    </w:p>
    <w:p>
      <w:r>
        <w:t xml:space="preserve">☐  Texto desidentificado solo si cumple uno de los dos métodos de HIPAA: la determinación de un experto, o quitar los identificadores de la lista, del cliente y de sus familiares, empleadores y miembros del hogar, sin saber de hecho que lo que queda podría identificar al cliente.</w:t>
      </w:r>
    </w:p>
    <w:p>
      <w:r>
        <w:t xml:space="preserve">☐  El texto libre se revisa antes de pegarlo: los nombres de hermanos, escuelas, lugares y fechas cuentan como identificadores.</w:t>
      </w:r>
    </w:p>
    <w:p>
      <w:pPr>
        <w:pStyle w:val="Prompt"/>
      </w:pPr>
      <w:r>
        <w:t xml:space="preserve">[Escribe lo que nunca puede entrar a ninguna herramienta de IA en tu organización, por ejemplo informes de evaluación completos o videos de sesiones.]</w:t>
      </w:r>
    </w:p>
    <w:p>
      <w:pPr>
        <w:pStyle w:val="Heading1"/>
      </w:pPr>
      <w:r>
        <w:t xml:space="preserve">4. Consentimiento y transparencia</w:t>
      </w:r>
    </w:p>
    <w:p>
      <w:r>
        <w:t xml:space="preserve">☐  Las familias saben cómo se usa la IA, sus riesgos y beneficios, y que pueden rechazarla.</w:t>
      </w:r>
    </w:p>
    <w:p>
      <w:r>
        <w:t xml:space="preserve">☐  El consentimiento cubre intercambiar o entregar información confidencial a través de la herramienta (código de ética 2.11).</w:t>
      </w:r>
    </w:p>
    <w:p>
      <w:r>
        <w:t xml:space="preserve">☐  El uso de IA se divulga en todo documento al que haya contribuido.</w:t>
      </w:r>
    </w:p>
    <w:p>
      <w:r>
        <w:t xml:space="preserve">☐  Se revisa la política de cada pagador; si no dice nada, se le describe el uso previsto.</w:t>
      </w:r>
    </w:p>
    <w:p>
      <w:pPr>
        <w:pStyle w:val="Heading1"/>
      </w:pPr>
      <w:r>
        <w:t xml:space="preserve">5. Revisión y firma</w:t>
      </w:r>
    </w:p>
    <w:p>
      <w:r>
        <w:t xml:space="preserve">☐  El profesional revisa, corrige y firma todo documento hecho con ayuda de IA.</w:t>
      </w:r>
    </w:p>
    <w:p>
      <w:r>
        <w:t xml:space="preserve">☐  Cada documento refleja la sesión real y no reutiliza texto de otras fuentes.</w:t>
      </w:r>
    </w:p>
    <w:p>
      <w:r>
        <w:t xml:space="preserve">☐  Los informes y las notas se mantienen exactos y completos (código de ética 2.06), y lo inexacto se corrige apenas se descubre (código de ética 1.01).</w:t>
      </w:r>
    </w:p>
    <w:p>
      <w:r>
        <w:t xml:space="preserve">☐  El personal aprende cómo funciona una herramienta y dónde falla antes de confiar en ella (código de ética 1.05).</w:t>
      </w:r>
    </w:p>
    <w:p>
      <w:pPr>
        <w:pStyle w:val="Heading1"/>
      </w:pPr>
      <w:r>
        <w:t xml:space="preserve">6. Supervisados</w:t>
      </w:r>
    </w:p>
    <w:p>
      <w:r>
        <w:t xml:space="preserve">☐  Los supervisados reciben capacitación sobre esta política antes de usar cualquier herramienta de IA.</w:t>
      </w:r>
    </w:p>
    <w:p>
      <w:r>
        <w:t xml:space="preserve">☐  Las tareas con IA se delegan solo después de confirmar que la persona puede hacerlas con competencia (código de ética 4.09).</w:t>
      </w:r>
    </w:p>
    <w:p>
      <w:r>
        <w:t xml:space="preserve">☐  Los supervisores siguen siendo responsables de las actividades profesionales de sus supervisados (código de ética 4.04).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5040"/>
        <w:gridCol w:w="5040"/>
      </w:tblGrid>
      <w:tr>
        <w:trPr>
          <w:tblHeader/>
        </w:trPr>
        <w:tc>
          <w:tcPr>
            <w:tcW w:w="504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Usos aceptables</w:t>
            </w:r>
          </w:p>
        </w:tc>
        <w:tc>
          <w:tcPr>
            <w:tcW w:w="5040" w:type="dxa"/>
            <w:shd w:val="clear" w:color="auto" w:fill="E6EEF2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No aceptables</w:t>
            </w:r>
          </w:p>
        </w:tc>
      </w:tr>
      <w:tr>
        <w:trPr>
          <w:cantSplit/>
          <w:trHeight w:val="420"/>
        </w:trPr>
        <w:tc>
          <w:tcPr>
            <w:tcW w:w="5040" w:type="dxa"/>
          </w:tcPr>
          <w:p>
            <w:pPr>
              <w:spacing w:after="0"/>
            </w:pPr>
            <w:r>
              <w:rPr>
                <w:sz w:val="19"/>
              </w:rPr>
              <w:t xml:space="preserve">[p. ej., redactar una carta a la familia sin identificadores del cliente]</w:t>
            </w:r>
          </w:p>
        </w:tc>
        <w:tc>
          <w:tcPr>
            <w:tcW w:w="5040" w:type="dxa"/>
          </w:tcPr>
          <w:p>
            <w:pPr>
              <w:spacing w:after="0"/>
            </w:pPr>
            <w:r>
              <w:rPr>
                <w:sz w:val="19"/>
              </w:rPr>
              <w:t xml:space="preserve">[p. ej., decidir horas o necesidad médica]</w:t>
            </w:r>
          </w:p>
        </w:tc>
      </w:tr>
      <w:tr>
        <w:trPr>
          <w:cantSplit/>
          <w:trHeight w:val="420"/>
        </w:trPr>
        <w:tc>
          <w:tcPr>
            <w:tcW w:w="5040" w:type="dxa"/>
          </w:tcPr>
          <w:p>
            <w:pPr>
              <w:spacing w:after="0"/>
            </w:pP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  <w:tr>
        <w:trPr>
          <w:cantSplit/>
          <w:trHeight w:val="420"/>
        </w:trPr>
        <w:tc>
          <w:tcPr>
            <w:tcW w:w="5040" w:type="dxa"/>
          </w:tcPr>
          <w:p>
            <w:pPr>
              <w:spacing w:after="0"/>
            </w:pPr>
          </w:p>
        </w:tc>
        <w:tc>
          <w:tcPr>
            <w:tcW w:w="504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7. Registros</w:t>
      </w:r>
    </w:p>
    <w:p>
      <w:r>
        <w:t xml:space="preserve">☐  Los resultados y registros de la IA se guardan, conservan y destruyen como cualquier otro documento electrónico (código de ética 2.05).</w:t>
      </w:r>
    </w:p>
    <w:p>
      <w:r>
        <w:t xml:space="preserve">☐  Un registro de uso anota quién usó qué herramienta, cuándo y para qué.</w:t>
      </w:r>
    </w:p>
    <w:p>
      <w:pPr>
        <w:pStyle w:val="Heading1"/>
      </w:pPr>
      <w:r>
        <w:t xml:space="preserve">8. Incidentes y brechas</w:t>
      </w:r>
    </w:p>
    <w:p>
      <w:r>
        <w:t xml:space="preserve">☐  Toda posible exposición de información de clientes se reporta al responsable de privacidad dentro de [número] horas.</w:t>
      </w:r>
    </w:p>
    <w:p>
      <w:r>
        <w:t xml:space="preserve">☐  HIPAA: aviso a las personas afectadas sin demora injustificada y a más tardar 60 días calendario después de descubrir la brecha (45 CFR 164.404).</w:t>
      </w:r>
    </w:p>
    <w:p>
      <w:r>
        <w:t xml:space="preserve">☐  Cada BAA dice cómo nos avisa el proveedor de una brecha; un asociado de negocio debe avisar sin demora injustificada (45 CFR 164.410).</w:t>
      </w:r>
    </w:p>
    <w:p>
      <w:r>
        <w:t xml:space="preserve">☐  Florida: si hay 500 o más afectados en Florida, aviso al Departamento de Asuntos Legales a más tardar 30 días después de determinar la brecha o de tener motivos para creer que ocurrió (s. 501.171, F.S.).</w:t>
      </w:r>
    </w:p>
    <w:p>
      <w:r>
        <w:t xml:space="preserve">☐  Nuestro abogado confirma cómo se aplican HIPAA y la ley de Florida en cada incidente.</w:t>
      </w:r>
    </w:p>
    <w:p>
      <w:pPr>
        <w:pStyle w:val="Heading1"/>
      </w:pPr>
      <w:r>
        <w:t xml:space="preserve">9. Revisión y aprobación</w:t>
      </w:r>
    </w:p>
    <w:p>
      <w:pPr>
        <w:pStyle w:val="Prompt"/>
      </w:pPr>
      <w:r>
        <w:t xml:space="preserve">[Esta política se revisa cada [12] meses y cada vez que cambie una herramienta, un plan o un acuerdo.]</w:t>
      </w:r>
    </w:p>
    <w:tbl>
      <w:tblPr>
        <w:tblStyle w:val="Grid"/>
        <w:tblW w:w="5000" w:type="pct"/>
        <w:tblBorders>
          <w:top w:val="single" w:sz="4" w:space="0" w:color="B8C4CF"/>
          <w:left w:val="single" w:sz="4" w:space="0" w:color="B8C4CF"/>
          <w:bottom w:val="single" w:sz="4" w:space="0" w:color="B8C4CF"/>
          <w:right w:val="single" w:sz="4" w:space="0" w:color="B8C4CF"/>
          <w:insideH w:val="single" w:sz="4" w:space="0" w:color="B8C4CF"/>
          <w:insideV w:val="single" w:sz="4" w:space="0" w:color="B8C4CF"/>
        </w:tblBorders>
        <w:tblLayout w:type="fixed"/>
      </w:tblPr>
      <w:tblGrid>
        <w:gridCol w:w="3700"/>
        <w:gridCol w:w="6380"/>
      </w:tblGrid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Aprobada por: nombre y cargo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Responsable de privacidad: nombre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  <w:tr>
        <w:trPr>
          <w:cantSplit/>
          <w:trHeight w:val="620"/>
        </w:trPr>
        <w:tc>
          <w:tcPr>
            <w:tcW w:w="3700" w:type="dxa"/>
            <w:shd w:val="clear" w:color="auto" w:fill="EEF3F6"/>
          </w:tcPr>
          <w:p>
            <w:pPr>
              <w:spacing w:after="0"/>
            </w:pPr>
            <w:r>
              <w:rPr>
                <w:b/>
                <w:sz w:val="19"/>
              </w:rPr>
              <w:t xml:space="preserve">Fecha</w:t>
            </w:r>
          </w:p>
        </w:tc>
        <w:tc>
          <w:tcPr>
            <w:tcW w:w="6380" w:type="dxa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Footer"/>
      </w:pPr>
      <w:r>
        <w:t xml:space="preserve">Plantilla de ABA PARTNERS Resources · actualizada el 15 de octubre de 2026 · resources.aba.partners · No es asesoría legal.</w:t>
      </w:r>
    </w:p>
    <w:sectPr>
      <w:pgSz w:w="12240" w:h="15840"/>
      <w:pgMar w:top="1080" w:right="1080" w:bottom="1080" w:left="1080" w:header="540" w:footer="5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2B39"/>
        <w:sz w:val="21"/>
        <w:szCs w:val="21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b/>
      <w:color w:val="0D1B2A"/>
      <w:sz w:val="40"/>
    </w:rPr>
  </w:style>
  <w:style w:type="paragraph" w:styleId="Subtitle">
    <w:name w:val="Subtitle"/>
    <w:basedOn w:val="Normal"/>
    <w:pPr>
      <w:spacing w:after="200"/>
    </w:pPr>
    <w:rPr>
      <w:color w:val="55667A"/>
      <w:sz w:val="19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color w:val="0D1B2A"/>
      <w:sz w:val="26"/>
    </w:rPr>
  </w:style>
  <w:style w:type="paragraph" w:styleId="Heading2">
    <w:name w:val="heading 2"/>
    <w:basedOn w:val="Normal"/>
    <w:next w:val="Normal"/>
    <w:pPr>
      <w:keepNext/>
      <w:spacing w:before="180" w:after="80"/>
      <w:outlineLvl w:val="1"/>
    </w:pPr>
    <w:rPr>
      <w:b/>
      <w:color w:val="11706B"/>
      <w:sz w:val="22"/>
    </w:rPr>
  </w:style>
  <w:style w:type="paragraph" w:styleId="Note">
    <w:name w:val="Note"/>
    <w:basedOn w:val="Normal"/>
    <w:pPr>
      <w:pBdr>
        <w:left w:val="single" w:sz="18" w:space="6" w:color="2AA7A1"/>
      </w:pBdr>
      <w:shd w:val="clear" w:color="auto" w:fill="F1F7F7"/>
      <w:spacing w:before="120" w:after="160"/>
      <w:ind w:left="120"/>
    </w:pPr>
    <w:rPr>
      <w:sz w:val="19"/>
    </w:rPr>
  </w:style>
  <w:style w:type="paragraph" w:styleId="Prompt">
    <w:name w:val="Prompt"/>
    <w:basedOn w:val="Normal"/>
    <w:pPr>
      <w:spacing w:after="160"/>
    </w:pPr>
    <w:rPr>
      <w:i/>
      <w:color w:val="55667A"/>
    </w:rPr>
  </w:style>
  <w:style w:type="paragraph" w:styleId="Footer">
    <w:name w:val="Footer"/>
    <w:basedOn w:val="Normal"/>
    <w:rPr>
      <w:color w:val="55667A"/>
      <w:sz w:val="16"/>
    </w:rPr>
  </w:style>
  <w:style w:type="table" w:styleId="Grid">
    <w:name w:val="Grid"/>
    <w:tblPr>
      <w:tblBorders>
        <w:top w:val="single" w:sz="4" w:color="B8C4CF"/>
        <w:left w:val="single" w:sz="4" w:color="B8C4CF"/>
        <w:bottom w:val="single" w:sz="4" w:color="B8C4CF"/>
        <w:right w:val="single" w:sz="4" w:color="B8C4CF"/>
        <w:insideH w:val="single" w:sz="4" w:color="B8C4CF"/>
        <w:insideV w:val="single" w:sz="4" w:color="B8C4CF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ABA PARTNERS Resources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Política de uso de IA</dc:title>
  <dc:creator>ABA PARTNERS</dc:creator>
  <dc:language>es</dc:language>
  <dcterms:created xsi:type="dcterms:W3CDTF">2026-10-15T00:00:00Z</dcterms:created>
  <dcterms:modified xsi:type="dcterms:W3CDTF">2026-10-15T00:00:00Z</dcterms:modified>
</cp:coreProperties>
</file>